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437AC3" w:rsidRPr="00990432" w:rsidRDefault="00437AC3" w:rsidP="00437AC3">
      <w:pPr>
        <w:shd w:val="clear" w:color="auto" w:fill="17365D" w:themeFill="text2" w:themeFillShade="BF"/>
        <w:jc w:val="center"/>
        <w:rPr>
          <w:rFonts w:ascii="Copperplate Gothic Light" w:hAnsi="Copperplate Gothic Light" w:cs="CordiaUPC"/>
        </w:rPr>
      </w:pPr>
      <w:proofErr w:type="spellStart"/>
      <w:r w:rsidRPr="00990432">
        <w:rPr>
          <w:rFonts w:ascii="Copperplate Gothic Light" w:hAnsi="Copperplate Gothic Light" w:cs="CordiaUPC"/>
        </w:rPr>
        <w:t>Ri.Be.i.co.</w:t>
      </w:r>
      <w:proofErr w:type="spellEnd"/>
    </w:p>
    <w:p w:rsidR="00437AC3" w:rsidRPr="00990432" w:rsidRDefault="00437AC3" w:rsidP="00437AC3">
      <w:pPr>
        <w:shd w:val="clear" w:color="auto" w:fill="17365D" w:themeFill="text2" w:themeFillShade="BF"/>
        <w:jc w:val="center"/>
        <w:rPr>
          <w:rFonts w:ascii="Copperplate Gothic Light" w:hAnsi="Copperplate Gothic Light" w:cs="CordiaUPC"/>
          <w:sz w:val="16"/>
          <w:szCs w:val="16"/>
        </w:rPr>
      </w:pPr>
      <w:r w:rsidRPr="00990432">
        <w:rPr>
          <w:rFonts w:ascii="Copperplate Gothic Light" w:hAnsi="Copperplate Gothic Light" w:cs="CordiaUPC"/>
          <w:sz w:val="16"/>
          <w:szCs w:val="16"/>
        </w:rPr>
        <w:t xml:space="preserve">Riccardo </w:t>
      </w:r>
      <w:proofErr w:type="spellStart"/>
      <w:r w:rsidRPr="00990432">
        <w:rPr>
          <w:rFonts w:ascii="Copperplate Gothic Light" w:hAnsi="Copperplate Gothic Light" w:cs="CordiaUPC"/>
          <w:sz w:val="16"/>
          <w:szCs w:val="16"/>
        </w:rPr>
        <w:t>Bertinetti</w:t>
      </w:r>
      <w:proofErr w:type="spellEnd"/>
      <w:r w:rsidRPr="00990432">
        <w:rPr>
          <w:rFonts w:ascii="Copperplate Gothic Light" w:hAnsi="Copperplate Gothic Light" w:cs="CordiaUPC"/>
          <w:sz w:val="16"/>
          <w:szCs w:val="16"/>
        </w:rPr>
        <w:t xml:space="preserve"> </w:t>
      </w:r>
      <w:proofErr w:type="spellStart"/>
      <w:r w:rsidRPr="00990432">
        <w:rPr>
          <w:rFonts w:ascii="Copperplate Gothic Light" w:hAnsi="Copperplate Gothic Light" w:cs="CordiaUPC"/>
          <w:sz w:val="16"/>
          <w:szCs w:val="16"/>
        </w:rPr>
        <w:t>Investment</w:t>
      </w:r>
      <w:proofErr w:type="spellEnd"/>
      <w:r w:rsidRPr="00990432">
        <w:rPr>
          <w:rFonts w:ascii="Copperplate Gothic Light" w:hAnsi="Copperplate Gothic Light" w:cs="CordiaUPC"/>
          <w:sz w:val="16"/>
          <w:szCs w:val="16"/>
        </w:rPr>
        <w:t xml:space="preserve"> Company</w:t>
      </w:r>
    </w:p>
    <w:p w:rsidR="00437AC3" w:rsidRDefault="00437AC3" w:rsidP="00437AC3">
      <w:pPr>
        <w:shd w:val="clear" w:color="auto" w:fill="17365D" w:themeFill="text2" w:themeFillShade="BF"/>
        <w:rPr>
          <w:rFonts w:ascii="CordiaUPC" w:hAnsi="CordiaUPC" w:cs="CordiaUPC"/>
        </w:rPr>
      </w:pPr>
    </w:p>
    <w:p w:rsidR="001C781E" w:rsidRPr="001C781E" w:rsidRDefault="001C781E" w:rsidP="001C781E">
      <w:pPr>
        <w:pStyle w:val="Nessunaspaziatura"/>
        <w:jc w:val="center"/>
        <w:rPr>
          <w:rFonts w:ascii="CordiaUPC" w:hAnsi="CordiaUPC" w:cs="CordiaUPC"/>
        </w:rPr>
      </w:pPr>
      <w:r w:rsidRPr="001C781E">
        <w:rPr>
          <w:rFonts w:ascii="CordiaUPC" w:hAnsi="CordiaUPC" w:cs="CordiaUPC"/>
        </w:rPr>
        <w:t xml:space="preserve">Assicurare la crescita di un progetto lasciando grande liquidità ai </w:t>
      </w:r>
      <w:proofErr w:type="spellStart"/>
      <w:r w:rsidRPr="001C781E">
        <w:rPr>
          <w:rFonts w:ascii="CordiaUPC" w:hAnsi="CordiaUPC" w:cs="CordiaUPC"/>
        </w:rPr>
        <w:t>players</w:t>
      </w:r>
      <w:proofErr w:type="spellEnd"/>
      <w:r w:rsidRPr="001C781E">
        <w:rPr>
          <w:rFonts w:ascii="CordiaUPC" w:hAnsi="CordiaUPC" w:cs="CordiaUPC"/>
        </w:rPr>
        <w:t xml:space="preserve"> ( fino a 120 giorni ) e abbattendo i costi di logistica fino al 60 %</w:t>
      </w:r>
    </w:p>
    <w:p w:rsidR="00437AC3" w:rsidRDefault="001C781E" w:rsidP="001C781E">
      <w:pPr>
        <w:pStyle w:val="Nessunaspaziatura"/>
        <w:jc w:val="center"/>
        <w:rPr>
          <w:rFonts w:ascii="CordiaUPC" w:hAnsi="CordiaUPC" w:cs="CordiaUPC"/>
        </w:rPr>
      </w:pPr>
      <w:r w:rsidRPr="001C781E">
        <w:rPr>
          <w:rFonts w:ascii="CordiaUPC" w:hAnsi="CordiaUPC" w:cs="CordiaUPC"/>
        </w:rPr>
        <w:t>*  permettendo una rotazione dei capitali quintupla rispetto a quanto preventivato</w:t>
      </w:r>
      <w:r w:rsidR="00C07888">
        <w:rPr>
          <w:rFonts w:ascii="CordiaUPC" w:hAnsi="CordiaUPC" w:cs="CordiaUPC"/>
        </w:rPr>
        <w:t>,</w:t>
      </w:r>
      <w:r w:rsidRPr="001C781E">
        <w:rPr>
          <w:rFonts w:ascii="CordiaUPC" w:hAnsi="CordiaUPC" w:cs="CordiaUPC"/>
        </w:rPr>
        <w:t xml:space="preserve"> </w:t>
      </w:r>
      <w:r w:rsidR="00437AC3" w:rsidRPr="001C781E">
        <w:rPr>
          <w:rFonts w:ascii="CordiaUPC" w:hAnsi="CordiaUPC" w:cs="CordiaUPC"/>
        </w:rPr>
        <w:t xml:space="preserve"> è parte del nostro lavoro.</w:t>
      </w:r>
    </w:p>
    <w:p w:rsidR="001C781E" w:rsidRPr="001C781E" w:rsidRDefault="001C781E" w:rsidP="001C781E">
      <w:pPr>
        <w:pStyle w:val="Nessunaspaziatura"/>
        <w:jc w:val="center"/>
        <w:rPr>
          <w:rFonts w:ascii="CordiaUPC" w:hAnsi="CordiaUPC" w:cs="CordiaUPC"/>
        </w:rPr>
      </w:pPr>
    </w:p>
    <w:p w:rsidR="00437AC3" w:rsidRPr="00057C54" w:rsidRDefault="001C781E" w:rsidP="00437AC3">
      <w:pPr>
        <w:shd w:val="clear" w:color="auto" w:fill="17365D" w:themeFill="text2" w:themeFillShade="BF"/>
        <w:jc w:val="center"/>
        <w:rPr>
          <w:sz w:val="24"/>
          <w:szCs w:val="24"/>
        </w:rPr>
      </w:pPr>
      <w:r>
        <w:rPr>
          <w:rFonts w:ascii="CordiaUPC" w:hAnsi="CordiaUPC" w:cs="CordiaUPC"/>
          <w:sz w:val="24"/>
          <w:szCs w:val="24"/>
        </w:rPr>
        <w:t>Grazie a interventi</w:t>
      </w:r>
      <w:r w:rsidR="00437AC3" w:rsidRPr="00057C54">
        <w:rPr>
          <w:rFonts w:ascii="CordiaUPC" w:hAnsi="CordiaUPC" w:cs="CordiaUPC"/>
          <w:sz w:val="24"/>
          <w:szCs w:val="24"/>
        </w:rPr>
        <w:t xml:space="preserve"> di</w:t>
      </w:r>
      <w:r w:rsidR="00437AC3" w:rsidRPr="00057C54">
        <w:rPr>
          <w:sz w:val="24"/>
          <w:szCs w:val="24"/>
        </w:rPr>
        <w:t xml:space="preserve"> </w:t>
      </w:r>
      <w:r w:rsidR="00437AC3" w:rsidRPr="00057C54">
        <w:rPr>
          <w:color w:val="5F497A" w:themeColor="accent4" w:themeShade="BF"/>
          <w:sz w:val="24"/>
          <w:szCs w:val="24"/>
        </w:rPr>
        <w:t xml:space="preserve">Bridge Financial </w:t>
      </w:r>
      <w:r w:rsidR="00437AC3">
        <w:rPr>
          <w:sz w:val="24"/>
          <w:szCs w:val="24"/>
        </w:rPr>
        <w:t xml:space="preserve"> </w:t>
      </w:r>
      <w:r w:rsidR="00437AC3" w:rsidRPr="00057C54">
        <w:rPr>
          <w:rFonts w:ascii="CordiaUPC" w:hAnsi="CordiaUPC" w:cs="CordiaUPC"/>
          <w:sz w:val="24"/>
          <w:szCs w:val="24"/>
        </w:rPr>
        <w:t xml:space="preserve">abbiamo </w:t>
      </w:r>
      <w:r w:rsidR="00437AC3">
        <w:rPr>
          <w:rFonts w:ascii="CordiaUPC" w:hAnsi="CordiaUPC" w:cs="CordiaUPC"/>
          <w:sz w:val="24"/>
          <w:szCs w:val="24"/>
        </w:rPr>
        <w:t>dato a diversi M</w:t>
      </w:r>
      <w:r w:rsidR="00437AC3" w:rsidRPr="00057C54">
        <w:rPr>
          <w:rFonts w:ascii="CordiaUPC" w:hAnsi="CordiaUPC" w:cs="CordiaUPC"/>
          <w:sz w:val="24"/>
          <w:szCs w:val="24"/>
        </w:rPr>
        <w:t xml:space="preserve">archi la </w:t>
      </w:r>
      <w:r>
        <w:rPr>
          <w:rFonts w:ascii="CordiaUPC" w:hAnsi="CordiaUPC" w:cs="CordiaUPC"/>
          <w:sz w:val="24"/>
          <w:szCs w:val="24"/>
        </w:rPr>
        <w:t xml:space="preserve">possibilità di crescere parallelamente al mercato </w:t>
      </w:r>
      <w:proofErr w:type="spellStart"/>
      <w:r>
        <w:rPr>
          <w:rFonts w:ascii="CordiaUPC" w:hAnsi="CordiaUPC" w:cs="CordiaUPC"/>
          <w:sz w:val="24"/>
          <w:szCs w:val="24"/>
        </w:rPr>
        <w:t>affichè</w:t>
      </w:r>
      <w:proofErr w:type="spellEnd"/>
      <w:r>
        <w:rPr>
          <w:rFonts w:ascii="CordiaUPC" w:hAnsi="CordiaUPC" w:cs="CordiaUPC"/>
          <w:sz w:val="24"/>
          <w:szCs w:val="24"/>
        </w:rPr>
        <w:t xml:space="preserve"> essi non soffrissero di un “eccesso di successo” bruciandosi delle opportunità.</w:t>
      </w:r>
      <w:r w:rsidR="00C07888">
        <w:rPr>
          <w:rFonts w:ascii="CordiaUPC" w:hAnsi="CordiaUPC" w:cs="CordiaUPC"/>
          <w:sz w:val="24"/>
          <w:szCs w:val="24"/>
        </w:rPr>
        <w:t xml:space="preserve"> Lo abbiamo ottenuto</w:t>
      </w:r>
      <w:r>
        <w:rPr>
          <w:rFonts w:ascii="CordiaUPC" w:hAnsi="CordiaUPC" w:cs="CordiaUPC"/>
          <w:sz w:val="24"/>
          <w:szCs w:val="24"/>
        </w:rPr>
        <w:t xml:space="preserve"> </w:t>
      </w:r>
      <w:r w:rsidR="00437AC3" w:rsidRPr="00057C54">
        <w:rPr>
          <w:rFonts w:ascii="CordiaUPC" w:hAnsi="CordiaUPC" w:cs="CordiaUPC"/>
          <w:sz w:val="24"/>
          <w:szCs w:val="24"/>
        </w:rPr>
        <w:t>as</w:t>
      </w:r>
      <w:r w:rsidR="00437AC3">
        <w:rPr>
          <w:rFonts w:ascii="CordiaUPC" w:hAnsi="CordiaUPC" w:cs="CordiaUPC"/>
          <w:sz w:val="24"/>
          <w:szCs w:val="24"/>
        </w:rPr>
        <w:t xml:space="preserve">sicurando un </w:t>
      </w:r>
      <w:proofErr w:type="spellStart"/>
      <w:r w:rsidR="00437AC3">
        <w:rPr>
          <w:rFonts w:ascii="CordiaUPC" w:hAnsi="CordiaUPC" w:cs="CordiaUPC"/>
          <w:sz w:val="24"/>
          <w:szCs w:val="24"/>
        </w:rPr>
        <w:t>Placement</w:t>
      </w:r>
      <w:proofErr w:type="spellEnd"/>
      <w:r w:rsidR="00437AC3">
        <w:rPr>
          <w:rFonts w:ascii="CordiaUPC" w:hAnsi="CordiaUPC" w:cs="CordiaUPC"/>
          <w:sz w:val="24"/>
          <w:szCs w:val="24"/>
        </w:rPr>
        <w:t xml:space="preserve"> duraturo </w:t>
      </w:r>
      <w:r w:rsidR="00437AC3" w:rsidRPr="00057C54">
        <w:rPr>
          <w:rFonts w:ascii="CordiaUPC" w:hAnsi="CordiaUPC" w:cs="CordiaUPC"/>
          <w:sz w:val="24"/>
          <w:szCs w:val="24"/>
        </w:rPr>
        <w:t xml:space="preserve"> e non richiedendo investimenti.</w:t>
      </w:r>
    </w:p>
    <w:p w:rsidR="00437AC3" w:rsidRPr="00057C54" w:rsidRDefault="001C781E" w:rsidP="00437AC3">
      <w:pPr>
        <w:pStyle w:val="Nessunaspaziatura"/>
        <w:shd w:val="clear" w:color="auto" w:fill="17365D" w:themeFill="text2" w:themeFillShade="BF"/>
        <w:jc w:val="center"/>
        <w:rPr>
          <w:rFonts w:ascii="CordiaUPC" w:hAnsi="CordiaUPC" w:cs="CordiaUPC"/>
          <w:sz w:val="24"/>
          <w:szCs w:val="24"/>
        </w:rPr>
      </w:pPr>
      <w:r>
        <w:rPr>
          <w:rFonts w:ascii="CordiaUPC" w:hAnsi="CordiaUPC" w:cs="CordiaUPC"/>
          <w:sz w:val="24"/>
          <w:szCs w:val="24"/>
        </w:rPr>
        <w:t>P</w:t>
      </w:r>
      <w:r w:rsidR="00437AC3" w:rsidRPr="00057C54">
        <w:rPr>
          <w:rFonts w:ascii="CordiaUPC" w:hAnsi="CordiaUPC" w:cs="CordiaUPC"/>
          <w:sz w:val="24"/>
          <w:szCs w:val="24"/>
        </w:rPr>
        <w:t>er lo sviluppo di Franchising</w:t>
      </w:r>
      <w:r>
        <w:rPr>
          <w:rFonts w:ascii="CordiaUPC" w:hAnsi="CordiaUPC" w:cs="CordiaUPC"/>
          <w:sz w:val="24"/>
          <w:szCs w:val="24"/>
        </w:rPr>
        <w:t>,</w:t>
      </w:r>
      <w:r w:rsidR="00437AC3">
        <w:rPr>
          <w:rFonts w:ascii="CordiaUPC" w:hAnsi="CordiaUPC" w:cs="CordiaUPC"/>
          <w:sz w:val="24"/>
          <w:szCs w:val="24"/>
        </w:rPr>
        <w:t xml:space="preserve"> </w:t>
      </w:r>
      <w:proofErr w:type="spellStart"/>
      <w:r w:rsidR="00437AC3">
        <w:rPr>
          <w:rFonts w:ascii="CordiaUPC" w:hAnsi="CordiaUPC" w:cs="CordiaUPC"/>
          <w:sz w:val="24"/>
          <w:szCs w:val="24"/>
        </w:rPr>
        <w:t>affidateVi</w:t>
      </w:r>
      <w:proofErr w:type="spellEnd"/>
      <w:r w:rsidR="00437AC3">
        <w:rPr>
          <w:rFonts w:ascii="CordiaUPC" w:hAnsi="CordiaUPC" w:cs="CordiaUPC"/>
          <w:sz w:val="24"/>
          <w:szCs w:val="24"/>
        </w:rPr>
        <w:t xml:space="preserve">  a chi può garantire i  risultati.</w:t>
      </w:r>
    </w:p>
    <w:p w:rsidR="00437AC3" w:rsidRPr="00FA0966" w:rsidRDefault="00437AC3" w:rsidP="00437AC3">
      <w:pPr>
        <w:shd w:val="clear" w:color="auto" w:fill="17365D" w:themeFill="text2" w:themeFillShade="BF"/>
        <w:rPr>
          <w:rFonts w:ascii="CordiaUPC" w:hAnsi="CordiaUPC" w:cs="CordiaUPC"/>
          <w:color w:val="7F7F7F" w:themeColor="text1" w:themeTint="80"/>
          <w:sz w:val="24"/>
          <w:szCs w:val="24"/>
        </w:rPr>
      </w:pPr>
    </w:p>
    <w:p w:rsidR="00437AC3" w:rsidRPr="00990432" w:rsidRDefault="001C781E" w:rsidP="00437AC3">
      <w:pPr>
        <w:pStyle w:val="Nessunaspaziatura"/>
        <w:rPr>
          <w:color w:val="7F7F7F" w:themeColor="text1" w:themeTint="80"/>
          <w:sz w:val="16"/>
          <w:szCs w:val="16"/>
        </w:rPr>
      </w:pPr>
      <w:proofErr w:type="spellStart"/>
      <w:r>
        <w:rPr>
          <w:color w:val="7F7F7F" w:themeColor="text1" w:themeTint="80"/>
          <w:sz w:val="16"/>
          <w:szCs w:val="16"/>
        </w:rPr>
        <w:t>*Pur</w:t>
      </w:r>
      <w:proofErr w:type="spellEnd"/>
      <w:r>
        <w:rPr>
          <w:color w:val="7F7F7F" w:themeColor="text1" w:themeTint="80"/>
          <w:sz w:val="16"/>
          <w:szCs w:val="16"/>
        </w:rPr>
        <w:t xml:space="preserve"> a</w:t>
      </w:r>
      <w:r w:rsidR="00437AC3" w:rsidRPr="00990432">
        <w:rPr>
          <w:color w:val="7F7F7F" w:themeColor="text1" w:themeTint="80"/>
          <w:sz w:val="16"/>
          <w:szCs w:val="16"/>
        </w:rPr>
        <w:t>ssicurando totale copertura logistica su più di 15.000 punti vendita.</w:t>
      </w:r>
    </w:p>
    <w:p w:rsidR="001C781E" w:rsidRDefault="001C781E" w:rsidP="00437AC3">
      <w:pPr>
        <w:pStyle w:val="Nessunaspaziatura"/>
        <w:rPr>
          <w:color w:val="7F7F7F" w:themeColor="text1" w:themeTint="80"/>
          <w:sz w:val="16"/>
          <w:szCs w:val="16"/>
        </w:rPr>
      </w:pPr>
    </w:p>
    <w:p w:rsidR="00C07888" w:rsidRDefault="00437AC3" w:rsidP="001C781E">
      <w:pPr>
        <w:pStyle w:val="Nessunaspaziatura"/>
        <w:rPr>
          <w:rFonts w:ascii="CordiaUPC" w:hAnsi="CordiaUPC" w:cs="CordiaUPC"/>
          <w:color w:val="7F7F7F" w:themeColor="text1" w:themeTint="80"/>
        </w:rPr>
      </w:pPr>
      <w:r w:rsidRPr="001C781E">
        <w:rPr>
          <w:rFonts w:ascii="CordiaUPC" w:hAnsi="CordiaUPC" w:cs="CordiaUPC"/>
          <w:color w:val="7F7F7F" w:themeColor="text1" w:themeTint="80"/>
        </w:rPr>
        <w:t xml:space="preserve">** Nel caso di Franchising di prodotti abbiamo permesso </w:t>
      </w:r>
      <w:r w:rsidR="001C781E">
        <w:rPr>
          <w:rFonts w:ascii="CordiaUPC" w:hAnsi="CordiaUPC" w:cs="CordiaUPC"/>
          <w:color w:val="7F7F7F" w:themeColor="text1" w:themeTint="80"/>
        </w:rPr>
        <w:t xml:space="preserve">che il </w:t>
      </w:r>
      <w:proofErr w:type="spellStart"/>
      <w:r w:rsidR="001C781E">
        <w:rPr>
          <w:rFonts w:ascii="CordiaUPC" w:hAnsi="CordiaUPC" w:cs="CordiaUPC"/>
          <w:color w:val="7F7F7F" w:themeColor="text1" w:themeTint="80"/>
        </w:rPr>
        <w:t>Franchisor</w:t>
      </w:r>
      <w:proofErr w:type="spellEnd"/>
      <w:r w:rsidR="001C781E">
        <w:rPr>
          <w:rFonts w:ascii="CordiaUPC" w:hAnsi="CordiaUPC" w:cs="CordiaUPC"/>
          <w:color w:val="7F7F7F" w:themeColor="text1" w:themeTint="80"/>
        </w:rPr>
        <w:t xml:space="preserve"> ricevesse </w:t>
      </w:r>
      <w:proofErr w:type="spellStart"/>
      <w:r w:rsidR="001C781E">
        <w:rPr>
          <w:rFonts w:ascii="CordiaUPC" w:hAnsi="CordiaUPC" w:cs="CordiaUPC"/>
          <w:color w:val="7F7F7F" w:themeColor="text1" w:themeTint="80"/>
        </w:rPr>
        <w:t>pagamentii</w:t>
      </w:r>
      <w:proofErr w:type="spellEnd"/>
      <w:r w:rsidR="001C781E">
        <w:rPr>
          <w:rFonts w:ascii="CordiaUPC" w:hAnsi="CordiaUPC" w:cs="CordiaUPC"/>
          <w:color w:val="7F7F7F" w:themeColor="text1" w:themeTint="80"/>
        </w:rPr>
        <w:t xml:space="preserve"> all’or</w:t>
      </w:r>
      <w:r w:rsidR="00C07888">
        <w:rPr>
          <w:rFonts w:ascii="CordiaUPC" w:hAnsi="CordiaUPC" w:cs="CordiaUPC"/>
          <w:color w:val="7F7F7F" w:themeColor="text1" w:themeTint="80"/>
        </w:rPr>
        <w:t>dine e il F</w:t>
      </w:r>
      <w:r w:rsidR="001C781E">
        <w:rPr>
          <w:rFonts w:ascii="CordiaUPC" w:hAnsi="CordiaUPC" w:cs="CordiaUPC"/>
          <w:color w:val="7F7F7F" w:themeColor="text1" w:themeTint="80"/>
        </w:rPr>
        <w:t xml:space="preserve">ranchisee godesse di una dilazione </w:t>
      </w:r>
      <w:r w:rsidR="00C07888">
        <w:rPr>
          <w:rFonts w:ascii="CordiaUPC" w:hAnsi="CordiaUPC" w:cs="CordiaUPC"/>
          <w:color w:val="7F7F7F" w:themeColor="text1" w:themeTint="80"/>
        </w:rPr>
        <w:t xml:space="preserve">  </w:t>
      </w:r>
    </w:p>
    <w:p w:rsidR="00437AC3" w:rsidRPr="001C781E" w:rsidRDefault="00C07888" w:rsidP="001C781E">
      <w:pPr>
        <w:pStyle w:val="Nessunaspaziatura"/>
        <w:rPr>
          <w:rFonts w:ascii="CordiaUPC" w:hAnsi="CordiaUPC" w:cs="CordiaUPC"/>
          <w:color w:val="7F7F7F" w:themeColor="text1" w:themeTint="80"/>
        </w:rPr>
      </w:pPr>
      <w:r>
        <w:rPr>
          <w:rFonts w:ascii="CordiaUPC" w:hAnsi="CordiaUPC" w:cs="CordiaUPC"/>
          <w:color w:val="7F7F7F" w:themeColor="text1" w:themeTint="80"/>
        </w:rPr>
        <w:t xml:space="preserve">    </w:t>
      </w:r>
      <w:r w:rsidR="001C781E">
        <w:rPr>
          <w:rFonts w:ascii="CordiaUPC" w:hAnsi="CordiaUPC" w:cs="CordiaUPC"/>
          <w:color w:val="7F7F7F" w:themeColor="text1" w:themeTint="80"/>
        </w:rPr>
        <w:t>superiore ai 100 giorni  - in 123 casi  negli ultimi due anni</w:t>
      </w:r>
      <w:r>
        <w:rPr>
          <w:rFonts w:ascii="CordiaUPC" w:hAnsi="CordiaUPC" w:cs="CordiaUPC"/>
          <w:color w:val="7F7F7F" w:themeColor="text1" w:themeTint="80"/>
        </w:rPr>
        <w:t xml:space="preserve"> solo in Italia -.</w:t>
      </w:r>
    </w:p>
    <w:p w:rsidR="00437AC3" w:rsidRPr="00437AC3" w:rsidRDefault="00437AC3" w:rsidP="00437AC3">
      <w:pPr>
        <w:pStyle w:val="Nessunaspaziatura"/>
        <w:rPr>
          <w:color w:val="7F7F7F" w:themeColor="text1" w:themeTint="80"/>
          <w:sz w:val="28"/>
          <w:szCs w:val="28"/>
        </w:rPr>
      </w:pPr>
    </w:p>
    <w:p w:rsidR="00437AC3" w:rsidRDefault="00437AC3" w:rsidP="00437AC3">
      <w:pPr>
        <w:pStyle w:val="Nessunaspaziatura"/>
        <w:shd w:val="clear" w:color="auto" w:fill="17365D" w:themeFill="text2" w:themeFillShade="BF"/>
        <w:rPr>
          <w:sz w:val="16"/>
          <w:szCs w:val="16"/>
        </w:rPr>
      </w:pPr>
    </w:p>
    <w:p w:rsidR="00B2510D" w:rsidRDefault="00B2510D"/>
    <w:sectPr w:rsidR="00B2510D" w:rsidSect="00057C54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defaultTabStop w:val="708"/>
  <w:hyphenationZone w:val="283"/>
  <w:characterSpacingControl w:val="doNotCompress"/>
  <w:compat/>
  <w:rsids>
    <w:rsidRoot w:val="00437AC3"/>
    <w:rsid w:val="001C781E"/>
    <w:rsid w:val="00437AC3"/>
    <w:rsid w:val="00901AF4"/>
    <w:rsid w:val="00B2510D"/>
    <w:rsid w:val="00C07888"/>
    <w:rsid w:val="00D07118"/>
    <w:rsid w:val="00F2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A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7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6</cp:revision>
  <dcterms:created xsi:type="dcterms:W3CDTF">2013-09-23T13:03:00Z</dcterms:created>
  <dcterms:modified xsi:type="dcterms:W3CDTF">2013-09-23T15:04:00Z</dcterms:modified>
</cp:coreProperties>
</file>